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附件1：</w:t>
      </w:r>
    </w:p>
    <w:p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202</w:t>
      </w:r>
      <w:r>
        <w:rPr>
          <w:rFonts w:ascii="黑体" w:hAnsi="黑体" w:eastAsia="黑体"/>
          <w:sz w:val="36"/>
          <w:szCs w:val="36"/>
        </w:rPr>
        <w:t>4</w:t>
      </w:r>
      <w:r>
        <w:rPr>
          <w:rFonts w:hint="eastAsia" w:ascii="黑体" w:hAnsi="黑体" w:eastAsia="黑体"/>
          <w:sz w:val="36"/>
          <w:szCs w:val="36"/>
        </w:rPr>
        <w:t>年“青年马克思主义者培养工程”学员推荐表</w:t>
      </w:r>
    </w:p>
    <w:tbl>
      <w:tblPr>
        <w:tblStyle w:val="2"/>
        <w:tblpPr w:leftFromText="180" w:rightFromText="180" w:vertAnchor="text" w:horzAnchor="page" w:tblpXSpec="center" w:tblpY="453"/>
        <w:tblOverlap w:val="never"/>
        <w:tblW w:w="96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6"/>
        <w:gridCol w:w="502"/>
        <w:gridCol w:w="1560"/>
        <w:gridCol w:w="47"/>
        <w:gridCol w:w="1134"/>
        <w:gridCol w:w="1228"/>
        <w:gridCol w:w="1186"/>
        <w:gridCol w:w="1417"/>
        <w:gridCol w:w="16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78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b/>
                <w:w w:val="9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w w:val="90"/>
                <w:kern w:val="0"/>
                <w:sz w:val="24"/>
                <w:szCs w:val="24"/>
              </w:rPr>
              <w:t>姓 名</w:t>
            </w:r>
          </w:p>
          <w:p>
            <w:pPr>
              <w:jc w:val="center"/>
              <w:rPr>
                <w:rFonts w:ascii="宋体" w:cs="宋体"/>
                <w:b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1181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w w:val="9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w w:val="90"/>
                <w:kern w:val="0"/>
                <w:sz w:val="24"/>
                <w:szCs w:val="24"/>
              </w:rPr>
              <w:t>性 别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b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rFonts w:ascii="宋体" w:cs="宋体"/>
                <w:w w:val="9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w w:val="90"/>
                <w:kern w:val="0"/>
                <w:sz w:val="24"/>
                <w:szCs w:val="24"/>
              </w:rPr>
              <w:t>民 族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1625" w:type="dxa"/>
            <w:vMerge w:val="restart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eastAsia="仿宋_GB2312" w:cs="宋体"/>
                <w:w w:val="9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FF0000"/>
                <w:w w:val="90"/>
                <w:kern w:val="0"/>
                <w:sz w:val="24"/>
                <w:szCs w:val="24"/>
              </w:rPr>
              <w:t>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78" w:type="dxa"/>
            <w:gridSpan w:val="2"/>
            <w:vAlign w:val="center"/>
          </w:tcPr>
          <w:p>
            <w:pPr>
              <w:jc w:val="center"/>
              <w:rPr>
                <w:rFonts w:ascii="仿宋_GB2312" w:hAnsi="宋体"/>
                <w:b/>
                <w:sz w:val="24"/>
                <w:szCs w:val="24"/>
              </w:rPr>
            </w:pPr>
            <w:r>
              <w:rPr>
                <w:rFonts w:hint="eastAsia" w:hAnsi="宋体" w:cs="宋体"/>
                <w:b/>
                <w:w w:val="9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181" w:type="dxa"/>
            <w:gridSpan w:val="2"/>
            <w:vAlign w:val="center"/>
          </w:tcPr>
          <w:p>
            <w:pPr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hAnsi="宋体" w:cs="宋体"/>
                <w:b/>
                <w:w w:val="9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28" w:type="dxa"/>
            <w:vAlign w:val="center"/>
          </w:tcPr>
          <w:p>
            <w:pPr>
              <w:jc w:val="center"/>
              <w:rPr>
                <w:rFonts w:ascii="仿宋_GB2312" w:hAnsi="宋体"/>
                <w:b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hAnsi="宋体" w:cs="宋体"/>
                <w:b/>
                <w:w w:val="90"/>
                <w:kern w:val="0"/>
                <w:sz w:val="24"/>
                <w:szCs w:val="24"/>
              </w:rPr>
              <w:t>籍 贯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625" w:type="dxa"/>
            <w:vMerge w:val="continue"/>
            <w:vAlign w:val="center"/>
          </w:tcPr>
          <w:p>
            <w:pPr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78" w:type="dxa"/>
            <w:gridSpan w:val="2"/>
            <w:vAlign w:val="center"/>
          </w:tcPr>
          <w:p>
            <w:pPr>
              <w:jc w:val="center"/>
              <w:rPr>
                <w:rFonts w:hAnsi="宋体" w:cs="宋体"/>
                <w:b/>
                <w:w w:val="9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/>
                <w:b/>
                <w:sz w:val="24"/>
                <w:szCs w:val="24"/>
              </w:rPr>
              <w:t>学院</w:t>
            </w:r>
          </w:p>
        </w:tc>
        <w:tc>
          <w:tcPr>
            <w:tcW w:w="2741" w:type="dxa"/>
            <w:gridSpan w:val="3"/>
            <w:vAlign w:val="center"/>
          </w:tcPr>
          <w:p>
            <w:pPr>
              <w:jc w:val="center"/>
              <w:rPr>
                <w:rFonts w:ascii="仿宋_GB2312" w:hAnsi="宋体"/>
                <w:b/>
                <w:sz w:val="24"/>
                <w:szCs w:val="24"/>
              </w:rPr>
            </w:pPr>
          </w:p>
        </w:tc>
        <w:tc>
          <w:tcPr>
            <w:tcW w:w="1228" w:type="dxa"/>
            <w:vAlign w:val="center"/>
          </w:tcPr>
          <w:p>
            <w:pPr>
              <w:jc w:val="center"/>
              <w:rPr>
                <w:rFonts w:ascii="仿宋_GB2312" w:hAnsi="宋体"/>
                <w:b/>
                <w:sz w:val="24"/>
                <w:szCs w:val="24"/>
              </w:rPr>
            </w:pPr>
            <w:r>
              <w:rPr>
                <w:rFonts w:hint="eastAsia" w:ascii="仿宋_GB2312" w:hAnsi="宋体"/>
                <w:b/>
                <w:sz w:val="24"/>
                <w:szCs w:val="24"/>
              </w:rPr>
              <w:t>班级</w:t>
            </w:r>
          </w:p>
        </w:tc>
        <w:tc>
          <w:tcPr>
            <w:tcW w:w="2603" w:type="dxa"/>
            <w:gridSpan w:val="2"/>
            <w:vAlign w:val="center"/>
          </w:tcPr>
          <w:p>
            <w:pPr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625" w:type="dxa"/>
            <w:vMerge w:val="continue"/>
            <w:vAlign w:val="center"/>
          </w:tcPr>
          <w:p>
            <w:pPr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78" w:type="dxa"/>
            <w:gridSpan w:val="2"/>
            <w:vAlign w:val="center"/>
          </w:tcPr>
          <w:p>
            <w:pPr>
              <w:jc w:val="center"/>
              <w:rPr>
                <w:rFonts w:ascii="仿宋_GB2312" w:hAnsi="宋体"/>
                <w:b/>
                <w:sz w:val="24"/>
                <w:szCs w:val="24"/>
              </w:rPr>
            </w:pPr>
            <w:r>
              <w:rPr>
                <w:rFonts w:hint="eastAsia" w:ascii="仿宋_GB2312" w:hAnsi="宋体"/>
                <w:b/>
                <w:sz w:val="24"/>
                <w:szCs w:val="24"/>
              </w:rPr>
              <w:t>联系方式</w:t>
            </w:r>
          </w:p>
        </w:tc>
        <w:tc>
          <w:tcPr>
            <w:tcW w:w="3969" w:type="dxa"/>
            <w:gridSpan w:val="4"/>
            <w:vAlign w:val="center"/>
          </w:tcPr>
          <w:p>
            <w:pPr>
              <w:ind w:firstLine="723" w:firstLineChars="300"/>
              <w:jc w:val="left"/>
              <w:rPr>
                <w:rFonts w:ascii="仿宋_GB2312" w:hAnsi="宋体"/>
                <w:b/>
                <w:sz w:val="24"/>
                <w:szCs w:val="24"/>
              </w:rPr>
            </w:pPr>
            <w:r>
              <w:rPr>
                <w:rFonts w:hint="eastAsia" w:ascii="仿宋_GB2312" w:hAnsi="宋体"/>
                <w:b/>
                <w:sz w:val="24"/>
                <w:szCs w:val="24"/>
              </w:rPr>
              <w:t xml:space="preserve">QQ：         </w:t>
            </w:r>
            <w:r>
              <w:rPr>
                <w:rFonts w:hint="eastAsia" w:hAnsi="宋体" w:cs="宋体"/>
                <w:b/>
                <w:w w:val="90"/>
                <w:kern w:val="0"/>
                <w:sz w:val="24"/>
                <w:szCs w:val="24"/>
              </w:rPr>
              <w:t xml:space="preserve">手机： </w:t>
            </w: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b/>
                <w:sz w:val="24"/>
                <w:szCs w:val="24"/>
              </w:rPr>
              <w:t>成绩排名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625" w:type="dxa"/>
            <w:vMerge w:val="continue"/>
            <w:vAlign w:val="center"/>
          </w:tcPr>
          <w:p>
            <w:pPr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78" w:type="dxa"/>
            <w:gridSpan w:val="2"/>
            <w:vAlign w:val="center"/>
          </w:tcPr>
          <w:p>
            <w:pPr>
              <w:jc w:val="center"/>
              <w:rPr>
                <w:rFonts w:ascii="仿宋_GB2312" w:hAnsi="宋体"/>
                <w:b/>
                <w:sz w:val="24"/>
                <w:szCs w:val="24"/>
              </w:rPr>
            </w:pPr>
            <w:r>
              <w:rPr>
                <w:rFonts w:hint="eastAsia" w:ascii="仿宋_GB2312" w:hAnsi="宋体"/>
                <w:b/>
                <w:sz w:val="24"/>
                <w:szCs w:val="24"/>
              </w:rPr>
              <w:t>志愿者编号</w:t>
            </w:r>
          </w:p>
        </w:tc>
        <w:tc>
          <w:tcPr>
            <w:tcW w:w="3969" w:type="dxa"/>
            <w:gridSpan w:val="4"/>
            <w:vAlign w:val="center"/>
          </w:tcPr>
          <w:p>
            <w:pPr>
              <w:jc w:val="center"/>
              <w:rPr>
                <w:rFonts w:ascii="仿宋_GB2312" w:hAnsi="宋体"/>
                <w:b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rFonts w:ascii="仿宋_GB2312" w:hAnsi="宋体"/>
                <w:b/>
                <w:sz w:val="24"/>
                <w:szCs w:val="24"/>
              </w:rPr>
            </w:pPr>
            <w:r>
              <w:rPr>
                <w:rFonts w:hint="eastAsia" w:ascii="仿宋_GB2312" w:hAnsi="宋体"/>
                <w:b/>
                <w:sz w:val="24"/>
                <w:szCs w:val="24"/>
              </w:rPr>
              <w:t>志愿时长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625" w:type="dxa"/>
            <w:vMerge w:val="continue"/>
            <w:vAlign w:val="center"/>
          </w:tcPr>
          <w:p>
            <w:pPr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976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宋体"/>
                <w:b/>
                <w:sz w:val="24"/>
                <w:szCs w:val="24"/>
              </w:rPr>
            </w:pPr>
            <w:r>
              <w:rPr>
                <w:rFonts w:hint="eastAsia" w:ascii="仿宋_GB2312" w:hAnsi="宋体"/>
                <w:b/>
                <w:sz w:val="24"/>
                <w:szCs w:val="24"/>
              </w:rPr>
              <w:t>本人简历</w:t>
            </w:r>
          </w:p>
        </w:tc>
        <w:tc>
          <w:tcPr>
            <w:tcW w:w="2109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FF0000"/>
                <w:sz w:val="24"/>
                <w:szCs w:val="24"/>
              </w:rPr>
              <w:t>2017.9-2018.6</w:t>
            </w:r>
          </w:p>
        </w:tc>
        <w:tc>
          <w:tcPr>
            <w:tcW w:w="6590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FF0000"/>
                <w:sz w:val="24"/>
                <w:szCs w:val="24"/>
              </w:rPr>
              <w:t>**市**中学</w:t>
            </w:r>
            <w:r>
              <w:rPr>
                <w:rFonts w:ascii="仿宋_GB2312" w:hAnsi="宋体"/>
                <w:color w:val="FF000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/>
                <w:color w:val="FF0000"/>
                <w:sz w:val="24"/>
                <w:szCs w:val="24"/>
              </w:rPr>
              <w:t>高中</w:t>
            </w:r>
            <w:r>
              <w:rPr>
                <w:rFonts w:ascii="仿宋_GB2312" w:hAnsi="宋体"/>
                <w:color w:val="FF000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/>
                <w:color w:val="FF0000"/>
                <w:sz w:val="24"/>
                <w:szCs w:val="24"/>
              </w:rPr>
              <w:t>曾任班长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976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宋体"/>
                <w:b/>
                <w:sz w:val="24"/>
                <w:szCs w:val="24"/>
              </w:rPr>
            </w:pPr>
          </w:p>
        </w:tc>
        <w:tc>
          <w:tcPr>
            <w:tcW w:w="2109" w:type="dxa"/>
            <w:gridSpan w:val="3"/>
            <w:vAlign w:val="center"/>
          </w:tcPr>
          <w:p>
            <w:pPr>
              <w:jc w:val="center"/>
              <w:rPr>
                <w:rFonts w:ascii="仿宋_GB2312" w:hAnsi="宋体"/>
                <w:color w:val="FF0000"/>
                <w:sz w:val="24"/>
                <w:szCs w:val="24"/>
              </w:rPr>
            </w:pPr>
          </w:p>
        </w:tc>
        <w:tc>
          <w:tcPr>
            <w:tcW w:w="6590" w:type="dxa"/>
            <w:gridSpan w:val="5"/>
            <w:vAlign w:val="center"/>
          </w:tcPr>
          <w:p>
            <w:pPr>
              <w:jc w:val="center"/>
              <w:rPr>
                <w:rFonts w:ascii="仿宋_GB2312" w:hAnsi="宋体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976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宋体"/>
                <w:b/>
                <w:sz w:val="24"/>
                <w:szCs w:val="24"/>
              </w:rPr>
            </w:pPr>
          </w:p>
        </w:tc>
        <w:tc>
          <w:tcPr>
            <w:tcW w:w="2109" w:type="dxa"/>
            <w:gridSpan w:val="3"/>
            <w:vAlign w:val="center"/>
          </w:tcPr>
          <w:p>
            <w:pPr>
              <w:jc w:val="center"/>
              <w:rPr>
                <w:rFonts w:ascii="仿宋_GB2312" w:hAnsi="宋体"/>
                <w:color w:val="FF0000"/>
                <w:sz w:val="24"/>
                <w:szCs w:val="24"/>
              </w:rPr>
            </w:pPr>
          </w:p>
        </w:tc>
        <w:tc>
          <w:tcPr>
            <w:tcW w:w="6590" w:type="dxa"/>
            <w:gridSpan w:val="5"/>
            <w:vAlign w:val="center"/>
          </w:tcPr>
          <w:p>
            <w:pPr>
              <w:jc w:val="center"/>
              <w:rPr>
                <w:rFonts w:ascii="仿宋_GB2312" w:hAnsi="宋体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976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宋体"/>
                <w:b/>
                <w:sz w:val="24"/>
                <w:szCs w:val="24"/>
              </w:rPr>
            </w:pPr>
          </w:p>
        </w:tc>
        <w:tc>
          <w:tcPr>
            <w:tcW w:w="2109" w:type="dxa"/>
            <w:gridSpan w:val="3"/>
            <w:vAlign w:val="center"/>
          </w:tcPr>
          <w:p>
            <w:pPr>
              <w:jc w:val="center"/>
              <w:rPr>
                <w:rFonts w:ascii="仿宋_GB2312" w:hAnsi="宋体"/>
                <w:color w:val="FF0000"/>
                <w:sz w:val="24"/>
                <w:szCs w:val="24"/>
              </w:rPr>
            </w:pPr>
          </w:p>
        </w:tc>
        <w:tc>
          <w:tcPr>
            <w:tcW w:w="6590" w:type="dxa"/>
            <w:gridSpan w:val="5"/>
            <w:vAlign w:val="center"/>
          </w:tcPr>
          <w:p>
            <w:pPr>
              <w:jc w:val="center"/>
              <w:rPr>
                <w:rFonts w:ascii="仿宋_GB2312" w:hAnsi="宋体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0" w:hRule="atLeast"/>
          <w:jc w:val="center"/>
        </w:trPr>
        <w:tc>
          <w:tcPr>
            <w:tcW w:w="976" w:type="dxa"/>
            <w:vAlign w:val="center"/>
          </w:tcPr>
          <w:p>
            <w:pPr>
              <w:jc w:val="center"/>
              <w:rPr>
                <w:rFonts w:ascii="仿宋_GB2312" w:hAnsi="宋体"/>
                <w:b/>
                <w:sz w:val="24"/>
                <w:szCs w:val="24"/>
              </w:rPr>
            </w:pPr>
            <w:r>
              <w:rPr>
                <w:rFonts w:hint="eastAsia" w:ascii="仿宋_GB2312" w:hAnsi="宋体"/>
                <w:b/>
                <w:sz w:val="24"/>
                <w:szCs w:val="24"/>
              </w:rPr>
              <w:t>推荐</w:t>
            </w:r>
          </w:p>
          <w:p>
            <w:pPr>
              <w:jc w:val="center"/>
              <w:rPr>
                <w:rFonts w:ascii="仿宋_GB2312" w:hAnsi="宋体"/>
                <w:b/>
                <w:sz w:val="24"/>
                <w:szCs w:val="24"/>
              </w:rPr>
            </w:pPr>
            <w:r>
              <w:rPr>
                <w:rFonts w:hint="eastAsia" w:ascii="仿宋_GB2312" w:hAnsi="宋体"/>
                <w:b/>
                <w:sz w:val="24"/>
                <w:szCs w:val="24"/>
              </w:rPr>
              <w:t>方式</w:t>
            </w:r>
          </w:p>
        </w:tc>
        <w:tc>
          <w:tcPr>
            <w:tcW w:w="8699" w:type="dxa"/>
            <w:gridSpan w:val="8"/>
            <w:vAlign w:val="center"/>
          </w:tcPr>
          <w:p>
            <w:pPr>
              <w:tabs>
                <w:tab w:val="left" w:pos="2120"/>
                <w:tab w:val="left" w:pos="2363"/>
                <w:tab w:val="left" w:pos="2550"/>
                <w:tab w:val="left" w:pos="2793"/>
              </w:tabs>
              <w:ind w:firstLine="960" w:firstLineChars="400"/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学院推荐（含团支部）  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理论学习骨干</w:t>
            </w:r>
          </w:p>
          <w:p>
            <w:pPr>
              <w:tabs>
                <w:tab w:val="left" w:pos="2120"/>
                <w:tab w:val="left" w:pos="2363"/>
                <w:tab w:val="left" w:pos="2550"/>
                <w:tab w:val="left" w:pos="2793"/>
              </w:tabs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        □优秀学生典型          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校级学生组织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1" w:hRule="atLeast"/>
          <w:jc w:val="center"/>
        </w:trPr>
        <w:tc>
          <w:tcPr>
            <w:tcW w:w="97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/>
                <w:b/>
                <w:sz w:val="24"/>
                <w:szCs w:val="24"/>
              </w:rPr>
              <w:t>党团学习经历</w:t>
            </w:r>
          </w:p>
        </w:tc>
        <w:tc>
          <w:tcPr>
            <w:tcW w:w="8699" w:type="dxa"/>
            <w:gridSpan w:val="8"/>
            <w:vAlign w:val="center"/>
          </w:tcPr>
          <w:p>
            <w:pPr>
              <w:tabs>
                <w:tab w:val="left" w:pos="2120"/>
                <w:tab w:val="left" w:pos="2363"/>
                <w:tab w:val="left" w:pos="2550"/>
                <w:tab w:val="left" w:pos="2793"/>
              </w:tabs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9" w:hRule="atLeast"/>
          <w:jc w:val="center"/>
        </w:trPr>
        <w:tc>
          <w:tcPr>
            <w:tcW w:w="976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宋体"/>
                <w:b/>
                <w:sz w:val="24"/>
                <w:szCs w:val="24"/>
              </w:rPr>
            </w:pPr>
            <w:r>
              <w:rPr>
                <w:rFonts w:hint="eastAsia" w:ascii="仿宋_GB2312" w:hAnsi="宋体"/>
                <w:b/>
                <w:sz w:val="24"/>
                <w:szCs w:val="24"/>
              </w:rPr>
              <w:t>获奖情况</w:t>
            </w:r>
          </w:p>
        </w:tc>
        <w:tc>
          <w:tcPr>
            <w:tcW w:w="8699" w:type="dxa"/>
            <w:gridSpan w:val="8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宋体"/>
                <w:color w:val="FF0000"/>
                <w:sz w:val="28"/>
                <w:szCs w:val="28"/>
              </w:rPr>
              <w:t>最多列举5项校级及以上奖励。</w:t>
            </w:r>
          </w:p>
          <w:p>
            <w:pPr>
              <w:widowControl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5" w:hRule="atLeast"/>
          <w:jc w:val="center"/>
        </w:trPr>
        <w:tc>
          <w:tcPr>
            <w:tcW w:w="976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宋体"/>
                <w:b/>
                <w:sz w:val="24"/>
                <w:szCs w:val="24"/>
              </w:rPr>
            </w:pPr>
            <w:r>
              <w:rPr>
                <w:rFonts w:hint="eastAsia" w:ascii="仿宋_GB2312" w:hAnsi="宋体"/>
                <w:b/>
                <w:sz w:val="24"/>
                <w:szCs w:val="24"/>
              </w:rPr>
              <w:t>自评</w:t>
            </w:r>
          </w:p>
        </w:tc>
        <w:tc>
          <w:tcPr>
            <w:tcW w:w="8699" w:type="dxa"/>
            <w:gridSpan w:val="8"/>
            <w:vAlign w:val="center"/>
          </w:tcPr>
          <w:p>
            <w:pPr>
              <w:jc w:val="center"/>
              <w:rPr>
                <w:rFonts w:ascii="仿宋_GB2312" w:hAnsi="宋体"/>
                <w:color w:val="FF0000"/>
                <w:sz w:val="28"/>
                <w:szCs w:val="28"/>
              </w:rPr>
            </w:pPr>
          </w:p>
          <w:p>
            <w:pPr>
              <w:widowControl/>
              <w:jc w:val="center"/>
            </w:pPr>
          </w:p>
          <w:p>
            <w:pPr>
              <w:widowControl/>
              <w:jc w:val="center"/>
            </w:pPr>
          </w:p>
          <w:p>
            <w:pPr>
              <w:widowControl/>
              <w:jc w:val="center"/>
            </w:pPr>
          </w:p>
          <w:p>
            <w:pPr>
              <w:widowControl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2" w:hRule="atLeast"/>
          <w:jc w:val="center"/>
        </w:trPr>
        <w:tc>
          <w:tcPr>
            <w:tcW w:w="97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napToGrid w:val="0"/>
                <w:kern w:val="0"/>
                <w:sz w:val="24"/>
                <w:szCs w:val="24"/>
              </w:rPr>
              <w:t>辅导员/指导老师意见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8699" w:type="dxa"/>
            <w:gridSpan w:val="8"/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6" w:hRule="atLeast"/>
          <w:jc w:val="center"/>
        </w:trPr>
        <w:tc>
          <w:tcPr>
            <w:tcW w:w="97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学</w:t>
            </w:r>
            <w:r>
              <w:rPr>
                <w:rFonts w:hint="eastAsia" w:ascii="仿宋_GB2312" w:hAnsi="仿宋_GB2312" w:eastAsia="仿宋_GB2312" w:cs="仿宋_GB2312"/>
                <w:b/>
                <w:snapToGrid w:val="0"/>
                <w:kern w:val="0"/>
                <w:sz w:val="24"/>
                <w:szCs w:val="24"/>
              </w:rPr>
              <w:t>院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意见</w:t>
            </w:r>
          </w:p>
        </w:tc>
        <w:tc>
          <w:tcPr>
            <w:tcW w:w="8699" w:type="dxa"/>
            <w:gridSpan w:val="8"/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1" w:hRule="atLeast"/>
          <w:jc w:val="center"/>
        </w:trPr>
        <w:tc>
          <w:tcPr>
            <w:tcW w:w="97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校团委意见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8699" w:type="dxa"/>
            <w:gridSpan w:val="8"/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7" w:hRule="atLeast"/>
          <w:jc w:val="center"/>
        </w:trPr>
        <w:tc>
          <w:tcPr>
            <w:tcW w:w="976" w:type="dxa"/>
            <w:vAlign w:val="center"/>
          </w:tcPr>
          <w:p>
            <w:pPr>
              <w:jc w:val="center"/>
              <w:rPr>
                <w:rFonts w:ascii="仿宋_GB2312" w:hAnsi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sz w:val="24"/>
                <w:szCs w:val="24"/>
              </w:rPr>
              <w:t>学校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sz w:val="24"/>
                <w:szCs w:val="24"/>
              </w:rPr>
              <w:t>意见</w:t>
            </w:r>
          </w:p>
        </w:tc>
        <w:tc>
          <w:tcPr>
            <w:tcW w:w="8699" w:type="dxa"/>
            <w:gridSpan w:val="8"/>
            <w:vAlign w:val="center"/>
          </w:tcPr>
          <w:p>
            <w:pPr>
              <w:widowControl/>
              <w:jc w:val="center"/>
            </w:pPr>
          </w:p>
        </w:tc>
      </w:tr>
    </w:tbl>
    <w:p>
      <w:pPr>
        <w:widowControl/>
        <w:snapToGrid w:val="0"/>
        <w:jc w:val="left"/>
        <w:rPr>
          <w:rFonts w:ascii="宋体" w:hAnsi="宋体" w:eastAsia="宋体" w:cs="宋体"/>
          <w:b/>
          <w:bCs/>
          <w:szCs w:val="21"/>
        </w:rPr>
      </w:pP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宋体"/>
          <w:b/>
          <w:bCs/>
        </w:rPr>
        <w:br w:type="page"/>
      </w:r>
    </w:p>
    <w:p>
      <w:pPr>
        <w:tabs>
          <w:tab w:val="left" w:pos="1214"/>
        </w:tabs>
        <w:spacing w:line="360" w:lineRule="auto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附件2：</w:t>
      </w:r>
    </w:p>
    <w:p>
      <w:pPr>
        <w:tabs>
          <w:tab w:val="left" w:pos="1214"/>
        </w:tabs>
        <w:spacing w:line="360" w:lineRule="auto"/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202</w:t>
      </w:r>
      <w:r>
        <w:rPr>
          <w:rFonts w:ascii="黑体" w:hAnsi="黑体" w:eastAsia="黑体" w:cs="黑体"/>
          <w:sz w:val="36"/>
          <w:szCs w:val="36"/>
        </w:rPr>
        <w:t>4</w:t>
      </w:r>
      <w:r>
        <w:rPr>
          <w:rFonts w:hint="eastAsia" w:ascii="黑体" w:hAnsi="黑体" w:eastAsia="黑体" w:cs="黑体"/>
          <w:sz w:val="36"/>
          <w:szCs w:val="36"/>
        </w:rPr>
        <w:t>年青马工程培训班学员自学指南</w:t>
      </w:r>
    </w:p>
    <w:p>
      <w:pPr>
        <w:tabs>
          <w:tab w:val="left" w:pos="1214"/>
        </w:tabs>
        <w:spacing w:line="360" w:lineRule="auto"/>
        <w:jc w:val="center"/>
        <w:rPr>
          <w:rFonts w:ascii="黑体" w:hAnsi="黑体" w:eastAsia="黑体" w:cs="黑体"/>
          <w:sz w:val="36"/>
          <w:szCs w:val="36"/>
        </w:rPr>
      </w:pPr>
    </w:p>
    <w:p>
      <w:pPr>
        <w:spacing w:line="360" w:lineRule="auto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根据湖北医药学院青马工程培训班培养方案，结合当前工作实际，制定本指南。</w:t>
      </w:r>
    </w:p>
    <w:p>
      <w:pPr>
        <w:numPr>
          <w:ilvl w:val="0"/>
          <w:numId w:val="1"/>
        </w:numPr>
        <w:spacing w:line="360" w:lineRule="auto"/>
        <w:ind w:firstLine="643" w:firstLineChars="200"/>
        <w:jc w:val="left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学习目的</w:t>
      </w:r>
    </w:p>
    <w:p>
      <w:pPr>
        <w:spacing w:line="360" w:lineRule="auto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进一步深入学习贯彻习近平新时代中国特色社会主义思想，推进我校“青马工程”科学化、专业化、系统化实施，引导青年大学生坚定马克思主义信仰，做马克思主义的忠诚信奉者、笃定研究者、积极传播者、坚定践行者。</w:t>
      </w:r>
    </w:p>
    <w:p>
      <w:pPr>
        <w:numPr>
          <w:ilvl w:val="0"/>
          <w:numId w:val="1"/>
        </w:numPr>
        <w:spacing w:line="360" w:lineRule="auto"/>
        <w:ind w:firstLine="643" w:firstLineChars="200"/>
        <w:jc w:val="left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学习内容</w:t>
      </w:r>
    </w:p>
    <w:p>
      <w:pPr>
        <w:numPr>
          <w:ilvl w:val="0"/>
          <w:numId w:val="2"/>
        </w:numPr>
        <w:spacing w:line="360" w:lineRule="auto"/>
        <w:ind w:firstLine="643" w:firstLineChars="200"/>
        <w:jc w:val="left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推荐阅读书目</w:t>
      </w:r>
    </w:p>
    <w:tbl>
      <w:tblPr>
        <w:tblStyle w:val="2"/>
        <w:tblW w:w="36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3016"/>
        <w:gridCol w:w="41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习近平著作选读（一）</w:t>
            </w:r>
          </w:p>
        </w:tc>
        <w:tc>
          <w:tcPr>
            <w:tcW w:w="120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电子书和有声书https://www.gqt.org.cn/ztjy/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习近平著作选读（二）</w:t>
            </w:r>
          </w:p>
        </w:tc>
        <w:tc>
          <w:tcPr>
            <w:tcW w:w="120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1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"https://www.12371.cn/special/xxgy/" \o "https://www.12371.cn/special/xxgy/"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  <w:t>习近平新时代中国特色社会主义思想学习纲要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20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 w:bidi="ar"/>
              </w:rPr>
              <w:t>青年在选择职业时的考虑</w:t>
            </w:r>
          </w:p>
        </w:tc>
        <w:tc>
          <w:tcPr>
            <w:tcW w:w="120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 w:bidi="ar"/>
              </w:rPr>
              <w:t>马克思恩格斯选集（1995年版），人民出版社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 w:bidi="ar"/>
              </w:rPr>
              <w:t>在马克思墓前的讲话</w:t>
            </w:r>
          </w:p>
        </w:tc>
        <w:tc>
          <w:tcPr>
            <w:tcW w:w="120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 w:bidi="ar"/>
              </w:rPr>
              <w:t>共产党宣言</w:t>
            </w:r>
          </w:p>
        </w:tc>
        <w:tc>
          <w:tcPr>
            <w:tcW w:w="120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 w:bidi="ar"/>
              </w:rPr>
              <w:t>德意志意识形态</w:t>
            </w:r>
          </w:p>
        </w:tc>
        <w:tc>
          <w:tcPr>
            <w:tcW w:w="120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 w:bidi="ar"/>
              </w:rPr>
              <w:t>社会主义从空想到科学的发展</w:t>
            </w:r>
          </w:p>
        </w:tc>
        <w:tc>
          <w:tcPr>
            <w:tcW w:w="120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 w:bidi="ar"/>
              </w:rPr>
              <w:t>唯物主义和经验批判主义</w:t>
            </w:r>
          </w:p>
        </w:tc>
        <w:tc>
          <w:tcPr>
            <w:tcW w:w="120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 w:bidi="ar"/>
              </w:rPr>
              <w:t>列宁选集                              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 w:bidi="ar"/>
              </w:rPr>
              <w:t>谈谈辩证法问题</w:t>
            </w:r>
          </w:p>
        </w:tc>
        <w:tc>
          <w:tcPr>
            <w:tcW w:w="120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 w:bidi="ar"/>
              </w:rPr>
              <w:t>反对本本主义</w:t>
            </w:r>
          </w:p>
        </w:tc>
        <w:tc>
          <w:tcPr>
            <w:tcW w:w="120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 w:bidi="ar"/>
              </w:rPr>
              <w:t>毛泽东选集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 w:bidi="ar"/>
              </w:rPr>
              <w:t>实践论</w:t>
            </w:r>
          </w:p>
        </w:tc>
        <w:tc>
          <w:tcPr>
            <w:tcW w:w="120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 w:bidi="ar"/>
              </w:rPr>
              <w:t>为人民服务</w:t>
            </w:r>
          </w:p>
        </w:tc>
        <w:tc>
          <w:tcPr>
            <w:tcW w:w="120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 w:bidi="ar"/>
              </w:rPr>
              <w:t>矛盾论</w:t>
            </w:r>
          </w:p>
        </w:tc>
        <w:tc>
          <w:tcPr>
            <w:tcW w:w="120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 w:bidi="ar"/>
              </w:rPr>
              <w:t>纪念白求恩</w:t>
            </w:r>
          </w:p>
        </w:tc>
        <w:tc>
          <w:tcPr>
            <w:tcW w:w="120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 w:bidi="ar"/>
              </w:rPr>
              <w:t>论持久战</w:t>
            </w:r>
          </w:p>
        </w:tc>
        <w:tc>
          <w:tcPr>
            <w:tcW w:w="120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 w:bidi="ar"/>
              </w:rPr>
              <w:t>改造我们的学习</w:t>
            </w:r>
          </w:p>
        </w:tc>
        <w:tc>
          <w:tcPr>
            <w:tcW w:w="120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 w:bidi="ar"/>
              </w:rPr>
              <w:t>论人民民主专政</w:t>
            </w:r>
          </w:p>
        </w:tc>
        <w:tc>
          <w:tcPr>
            <w:tcW w:w="120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 w:bidi="ar"/>
              </w:rPr>
              <w:t>在武昌、深圳、珠海、上海等地的谈话要点</w:t>
            </w:r>
          </w:p>
        </w:tc>
        <w:tc>
          <w:tcPr>
            <w:tcW w:w="120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 w:bidi="ar"/>
              </w:rPr>
              <w:t>邓小平文选（一、二、三卷），人民出版社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 w:bidi="ar"/>
              </w:rPr>
              <w:t>在全国科学大会开幕式上的讲话</w:t>
            </w:r>
          </w:p>
        </w:tc>
        <w:tc>
          <w:tcPr>
            <w:tcW w:w="120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 w:bidi="ar"/>
              </w:rPr>
              <w:t>解放思想，实事求是，团结一致向前看</w:t>
            </w:r>
          </w:p>
        </w:tc>
        <w:tc>
          <w:tcPr>
            <w:tcW w:w="120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 w:bidi="ar"/>
              </w:rPr>
              <w:t>习近平的七年知青岁月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 w:bidi="ar"/>
              </w:rPr>
              <w:t>中共中央党校出版社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 w:bidi="ar"/>
              </w:rPr>
              <w:t>习近平与大学生朋友们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 w:bidi="ar"/>
              </w:rPr>
              <w:t>中国青年出版社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习近平在正定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 w:bidi="ar"/>
              </w:rPr>
              <w:t>中共中央党校出版社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习近平在宁德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 w:bidi="ar"/>
              </w:rPr>
              <w:t>中共中央党校出版社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 w:bidi="ar"/>
              </w:rPr>
              <w:t>资本论（第一卷）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 w:bidi="ar"/>
              </w:rPr>
              <w:t>马克思恩格斯选集（1995年版）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 w:bidi="ar"/>
              </w:rPr>
              <w:t>马克思传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 w:bidi="ar"/>
              </w:rPr>
              <w:t>麦克莱伦，中国人民大学出版社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 w:bidi="ar"/>
              </w:rPr>
              <w:t>毛泽东传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 w:bidi="ar"/>
              </w:rPr>
              <w:t>特里尔，中国人民大学出版社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邓小平时代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 w:bidi="ar"/>
              </w:rPr>
              <w:t>三联书店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中国革命与中国共产党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新华书店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 w:bidi="ar"/>
              </w:rPr>
              <w:t>习近平讲故事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 w:bidi="ar"/>
              </w:rPr>
              <w:t>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 w:bidi="ar"/>
              </w:rPr>
              <w:t>习近平用典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 w:bidi="ar"/>
              </w:rPr>
              <w:t>人民日报出版社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 w:bidi="ar"/>
              </w:rPr>
              <w:t>人类简史：从动物到上帝（新版）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 w:bidi="ar"/>
              </w:rPr>
              <w:t>尤瓦尔·赫拉利，中信出版社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 w:bidi="ar"/>
              </w:rPr>
              <w:t>时间简史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 w:bidi="ar"/>
              </w:rPr>
              <w:t>史蒂芬·霍金，湖南科技出版社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 w:bidi="ar"/>
              </w:rPr>
              <w:t>中国哲学简史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 w:bidi="ar"/>
              </w:rPr>
              <w:t>冯友兰著，赵复三译，三联书店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 w:bidi="ar"/>
              </w:rPr>
              <w:t>西方哲学简史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 w:bidi="ar"/>
              </w:rPr>
              <w:t>罗素，陕西师范大学出版社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 w:bidi="ar"/>
              </w:rPr>
              <w:t>美的历程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 w:bidi="ar"/>
              </w:rPr>
              <w:t>李泽厚，三联书店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 w:bidi="ar"/>
              </w:rPr>
              <w:t>如何阅读一本书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 w:bidi="ar"/>
              </w:rPr>
              <w:t>莫提默·J.艾德勒 查尔斯·范多伦 ，商务印书馆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 w:bidi="ar"/>
              </w:rPr>
              <w:t>管理的实践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 w:bidi="ar"/>
              </w:rPr>
              <w:t>彼得·德鲁克，机械工业出版社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 w:bidi="ar"/>
              </w:rPr>
              <w:t>卓有成效的管理者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 w:bidi="ar"/>
              </w:rPr>
              <w:t>彼得·德鲁克，机械工业出版社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 w:bidi="ar"/>
              </w:rPr>
              <w:t>罗伯特议事法则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 w:bidi="ar"/>
              </w:rPr>
              <w:t>亨利·罗伯特，格致出版社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 w:bidi="ar"/>
              </w:rPr>
              <w:t>管理学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 w:bidi="ar"/>
              </w:rPr>
              <w:t>斯蒂芬·P·罗宾斯                             中国人民大学出版社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 w:bidi="ar"/>
              </w:rPr>
              <w:t>医学史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 w:bidi="ar"/>
              </w:rPr>
              <w:t>阿尔图罗·卡斯蒂廖尼，译林出版社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 w:bidi="ar"/>
              </w:rPr>
              <w:t>中外医学史纲要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 w:bidi="ar"/>
              </w:rPr>
              <w:t>中国协和医科大学出版社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 w:bidi="ar"/>
              </w:rPr>
              <w:t>漫谈医学史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 w:bidi="ar"/>
              </w:rPr>
              <w:t>刘里鹏，华中科技大学出版社</w:t>
            </w:r>
          </w:p>
        </w:tc>
      </w:tr>
    </w:tbl>
    <w:p>
      <w:pPr>
        <w:numPr>
          <w:ilvl w:val="0"/>
          <w:numId w:val="2"/>
        </w:numPr>
        <w:spacing w:line="360" w:lineRule="auto"/>
        <w:ind w:firstLine="643" w:firstLineChars="200"/>
        <w:jc w:val="left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理论学习</w:t>
      </w:r>
    </w:p>
    <w:p>
      <w:pPr>
        <w:spacing w:line="360" w:lineRule="auto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在团中央制定网站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https://www.gqt.org.cn/ztjy/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认真学习《</w:t>
      </w:r>
      <w:r>
        <w:rPr>
          <w:rFonts w:hint="eastAsia" w:ascii="仿宋" w:hAnsi="仿宋" w:eastAsia="仿宋" w:cs="仿宋"/>
          <w:sz w:val="32"/>
          <w:szCs w:val="32"/>
        </w:rPr>
        <w:t>中国共产主义青年团第十九次全国代表大会报告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》《</w:t>
      </w:r>
      <w:r>
        <w:rPr>
          <w:rFonts w:hint="eastAsia" w:ascii="仿宋" w:hAnsi="仿宋" w:eastAsia="仿宋" w:cs="仿宋"/>
          <w:sz w:val="32"/>
          <w:szCs w:val="32"/>
        </w:rPr>
        <w:t>共青团中央关于认真学习宣传贯彻习近平总书记重要讲话精神 动员引领广大团员青年在强国建设、民族复兴伟业中挺膺担当的决定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》《习近平文化思想学习知识点》和《中国式现代化面对面》系列知识，</w:t>
      </w:r>
      <w:r>
        <w:rPr>
          <w:rFonts w:hint="eastAsia" w:ascii="仿宋" w:hAnsi="仿宋" w:eastAsia="仿宋" w:cs="仿宋"/>
          <w:sz w:val="32"/>
          <w:szCs w:val="32"/>
        </w:rPr>
        <w:t>并结合自身实际完成学习报告与心得体会撰写，学习报告和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新得</w:t>
      </w:r>
      <w:r>
        <w:rPr>
          <w:rFonts w:hint="eastAsia" w:ascii="仿宋" w:hAnsi="仿宋" w:eastAsia="仿宋" w:cs="仿宋"/>
          <w:sz w:val="32"/>
          <w:szCs w:val="32"/>
        </w:rPr>
        <w:t>体会每篇不少于800字。</w:t>
      </w:r>
    </w:p>
    <w:p>
      <w:pPr>
        <w:numPr>
          <w:ilvl w:val="0"/>
          <w:numId w:val="2"/>
        </w:numPr>
        <w:spacing w:line="360" w:lineRule="auto"/>
        <w:ind w:firstLine="643" w:firstLineChars="200"/>
        <w:jc w:val="left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青年大学习</w:t>
      </w:r>
    </w:p>
    <w:p>
      <w:pPr>
        <w:spacing w:line="360" w:lineRule="auto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登录微信</w:t>
      </w:r>
      <w:r>
        <w:rPr>
          <w:rFonts w:hint="eastAsia" w:ascii="仿宋" w:hAnsi="仿宋" w:eastAsia="仿宋" w:cs="仿宋"/>
          <w:sz w:val="32"/>
          <w:szCs w:val="32"/>
        </w:rPr>
        <w:t>，搜索</w:t>
      </w:r>
      <w:r>
        <w:rPr>
          <w:rFonts w:ascii="仿宋" w:hAnsi="仿宋" w:eastAsia="仿宋" w:cs="仿宋"/>
          <w:sz w:val="32"/>
          <w:szCs w:val="32"/>
        </w:rPr>
        <w:t>公众号</w:t>
      </w:r>
      <w:r>
        <w:rPr>
          <w:rFonts w:hint="eastAsia" w:ascii="仿宋" w:hAnsi="仿宋" w:eastAsia="仿宋" w:cs="仿宋"/>
          <w:sz w:val="32"/>
          <w:szCs w:val="32"/>
        </w:rPr>
        <w:t>“青春湖北”，点击“签到学习”，观看“青年大学习”网上主题团课，进行每期的签到学习。</w:t>
      </w:r>
    </w:p>
    <w:p>
      <w:pPr>
        <w:numPr>
          <w:ilvl w:val="0"/>
          <w:numId w:val="2"/>
        </w:numPr>
        <w:spacing w:line="360" w:lineRule="auto"/>
        <w:ind w:firstLine="643" w:firstLineChars="200"/>
        <w:jc w:val="left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学习强国</w:t>
      </w:r>
    </w:p>
    <w:p>
      <w:pPr>
        <w:spacing w:line="360" w:lineRule="auto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手机下载“学习强国”APP，完成每日时政学习并累计积分。后期将通过学习积分核查学生学习情况。</w:t>
      </w:r>
    </w:p>
    <w:p>
      <w:pPr>
        <w:numPr>
          <w:ilvl w:val="0"/>
          <w:numId w:val="1"/>
        </w:numPr>
        <w:spacing w:line="360" w:lineRule="auto"/>
        <w:ind w:firstLine="643" w:firstLineChars="200"/>
        <w:jc w:val="left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学习方式</w:t>
      </w:r>
    </w:p>
    <w:p>
      <w:pPr>
        <w:spacing w:line="360" w:lineRule="auto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对学员进行分组，每组配备指导老师，以小组为单位开展自学。</w:t>
      </w:r>
    </w:p>
    <w:p>
      <w:pPr>
        <w:numPr>
          <w:ilvl w:val="0"/>
          <w:numId w:val="3"/>
        </w:numPr>
        <w:spacing w:line="360" w:lineRule="auto"/>
        <w:ind w:firstLine="643" w:firstLineChars="200"/>
        <w:jc w:val="left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学习时政</w:t>
      </w:r>
    </w:p>
    <w:p>
      <w:pPr>
        <w:spacing w:line="360" w:lineRule="auto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通过学习强国APP、人民日报（人民网、人民日报微信号）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等客户端了解国际、国内实事动向，结合</w:t>
      </w:r>
      <w:r>
        <w:rPr>
          <w:rFonts w:hint="eastAsia" w:ascii="仿宋" w:hAnsi="仿宋" w:eastAsia="仿宋" w:cs="仿宋"/>
          <w:sz w:val="32"/>
          <w:szCs w:val="32"/>
        </w:rPr>
        <w:t>“青年大学习”网上主题团课、团中央学校部(微信公众号）和理论文章等线上资源进行自学。</w:t>
      </w:r>
    </w:p>
    <w:p>
      <w:pPr>
        <w:numPr>
          <w:ilvl w:val="0"/>
          <w:numId w:val="3"/>
        </w:numPr>
        <w:spacing w:line="360" w:lineRule="auto"/>
        <w:ind w:firstLine="643" w:firstLineChars="200"/>
        <w:jc w:val="left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自主阅读</w:t>
      </w:r>
    </w:p>
    <w:p>
      <w:pPr>
        <w:spacing w:line="360" w:lineRule="auto"/>
        <w:ind w:firstLine="643" w:firstLineChars="200"/>
        <w:jc w:val="left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1、推荐书目阅读</w:t>
      </w:r>
    </w:p>
    <w:p>
      <w:pPr>
        <w:spacing w:line="360" w:lineRule="auto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学员从提供的阅读推荐书目中选择至少2本进行自学，并撰写读书笔记（摘抄及心得）。学员们通过笔记拍照方式进行线上分享交流。</w:t>
      </w:r>
    </w:p>
    <w:p>
      <w:pPr>
        <w:spacing w:line="360" w:lineRule="auto"/>
        <w:ind w:firstLine="643" w:firstLineChars="200"/>
        <w:jc w:val="left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2、自选书目阅读</w:t>
      </w:r>
    </w:p>
    <w:p>
      <w:pPr>
        <w:spacing w:line="360" w:lineRule="auto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除上述推荐阅读书目外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ascii="仿宋" w:hAnsi="仿宋" w:eastAsia="仿宋" w:cs="仿宋"/>
          <w:sz w:val="32"/>
          <w:szCs w:val="32"/>
        </w:rPr>
        <w:t>可选择自行阅读与</w:t>
      </w:r>
      <w:r>
        <w:rPr>
          <w:rFonts w:hint="eastAsia" w:ascii="仿宋" w:hAnsi="仿宋" w:eastAsia="仿宋" w:cs="仿宋"/>
          <w:sz w:val="32"/>
          <w:szCs w:val="32"/>
        </w:rPr>
        <w:t>“青年马克思主义思想”有关的书籍或时政新闻、文章等，通过做笔记、写读后感想等方式记录自己的学习过程。学员们通过撰写感想心得的方式进行线上分享交流。</w:t>
      </w:r>
    </w:p>
    <w:p>
      <w:pPr>
        <w:pStyle w:val="7"/>
        <w:numPr>
          <w:ilvl w:val="0"/>
          <w:numId w:val="3"/>
        </w:numPr>
        <w:spacing w:line="360" w:lineRule="auto"/>
        <w:ind w:firstLineChars="0"/>
        <w:jc w:val="left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其他方式</w:t>
      </w:r>
    </w:p>
    <w:p>
      <w:pPr>
        <w:spacing w:line="360" w:lineRule="auto"/>
        <w:ind w:firstLine="640" w:firstLineChars="200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可通过观看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制定</w:t>
      </w:r>
      <w:r>
        <w:rPr>
          <w:rFonts w:hint="eastAsia" w:ascii="仿宋" w:hAnsi="仿宋" w:eastAsia="仿宋" w:cs="仿宋"/>
          <w:sz w:val="32"/>
          <w:szCs w:val="32"/>
        </w:rPr>
        <w:t>红色电影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参观红色革命纪念馆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学习党史，参加寒假</w:t>
      </w:r>
      <w:r>
        <w:rPr>
          <w:rFonts w:hint="eastAsia" w:ascii="仿宋" w:hAnsi="仿宋" w:eastAsia="仿宋" w:cs="仿宋"/>
          <w:sz w:val="32"/>
          <w:szCs w:val="32"/>
        </w:rPr>
        <w:t>、暑期社会实践调研活动</w:t>
      </w:r>
      <w:r>
        <w:rPr>
          <w:rFonts w:hint="eastAsia" w:ascii="仿宋" w:hAnsi="仿宋" w:eastAsia="仿宋" w:cs="仿宋"/>
          <w:bCs/>
          <w:sz w:val="32"/>
          <w:szCs w:val="32"/>
        </w:rPr>
        <w:t>增强使命感、政治责任感。</w:t>
      </w:r>
      <w:r>
        <w:rPr>
          <w:rFonts w:hint="eastAsia" w:ascii="仿宋" w:hAnsi="仿宋" w:eastAsia="仿宋" w:cs="仿宋"/>
          <w:sz w:val="32"/>
          <w:szCs w:val="32"/>
        </w:rPr>
        <w:t>学员们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可以</w:t>
      </w:r>
      <w:r>
        <w:rPr>
          <w:rFonts w:hint="eastAsia" w:ascii="仿宋" w:hAnsi="仿宋" w:eastAsia="仿宋" w:cs="仿宋"/>
          <w:bCs/>
          <w:sz w:val="32"/>
          <w:szCs w:val="32"/>
        </w:rPr>
        <w:t>采用照片记录、感悟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交流</w:t>
      </w:r>
      <w:r>
        <w:rPr>
          <w:rFonts w:hint="eastAsia" w:ascii="仿宋" w:hAnsi="仿宋" w:eastAsia="仿宋" w:cs="仿宋"/>
          <w:bCs/>
          <w:sz w:val="32"/>
          <w:szCs w:val="32"/>
        </w:rPr>
        <w:t>的形式进行线上交流分享。</w:t>
      </w:r>
    </w:p>
    <w:p>
      <w:pPr>
        <w:numPr>
          <w:ilvl w:val="0"/>
          <w:numId w:val="1"/>
        </w:numPr>
        <w:spacing w:line="360" w:lineRule="auto"/>
        <w:ind w:firstLine="643" w:firstLineChars="200"/>
        <w:jc w:val="left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考察方式</w:t>
      </w:r>
    </w:p>
    <w:p>
      <w:pPr>
        <w:spacing w:line="360" w:lineRule="auto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进入青马班考核主要分为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学习考核</w:t>
      </w:r>
      <w:r>
        <w:rPr>
          <w:rFonts w:hint="eastAsia" w:ascii="仿宋" w:hAnsi="仿宋" w:eastAsia="仿宋" w:cs="仿宋"/>
          <w:sz w:val="32"/>
          <w:szCs w:val="32"/>
        </w:rPr>
        <w:t>、笔试、面试三部分。实行百分制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，最终根据总分排序，</w:t>
      </w:r>
      <w:r>
        <w:rPr>
          <w:rFonts w:hint="eastAsia" w:ascii="仿宋" w:hAnsi="仿宋" w:eastAsia="仿宋" w:cs="仿宋"/>
          <w:sz w:val="32"/>
          <w:szCs w:val="32"/>
        </w:rPr>
        <w:t>其中日常学习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情况</w:t>
      </w:r>
      <w:r>
        <w:rPr>
          <w:rFonts w:hint="eastAsia" w:ascii="仿宋" w:hAnsi="仿宋" w:eastAsia="仿宋" w:cs="仿宋"/>
          <w:sz w:val="32"/>
          <w:szCs w:val="32"/>
        </w:rPr>
        <w:t>占30%，笔试占40%、面试占30%。</w:t>
      </w:r>
    </w:p>
    <w:p>
      <w:pPr>
        <w:numPr>
          <w:ilvl w:val="0"/>
          <w:numId w:val="4"/>
        </w:numPr>
        <w:spacing w:line="360" w:lineRule="auto"/>
        <w:ind w:firstLine="643" w:firstLineChars="200"/>
        <w:jc w:val="left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核查（</w:t>
      </w:r>
      <w:r>
        <w:rPr>
          <w:rFonts w:ascii="仿宋" w:hAnsi="仿宋" w:eastAsia="仿宋" w:cs="仿宋"/>
          <w:b/>
          <w:bCs/>
          <w:sz w:val="32"/>
          <w:szCs w:val="32"/>
        </w:rPr>
        <w:t>30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分）</w:t>
      </w:r>
    </w:p>
    <w:p>
      <w:pPr>
        <w:spacing w:line="360" w:lineRule="auto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主要核查学员的日常自主学习情况。</w:t>
      </w:r>
    </w:p>
    <w:p>
      <w:pPr>
        <w:spacing w:line="360" w:lineRule="auto"/>
        <w:ind w:firstLine="643" w:firstLineChars="200"/>
        <w:jc w:val="left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（1）读书笔记（15分）</w:t>
      </w:r>
    </w:p>
    <w:p>
      <w:pPr>
        <w:spacing w:line="360" w:lineRule="auto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①做好自主阅读读书笔记（摘抄及心得）并按时上交，无迟交、漏交情况，字迹工整、感想深刻、每篇笔记或心得字数800字以上，每月至少1篇。</w:t>
      </w:r>
    </w:p>
    <w:p>
      <w:pPr>
        <w:spacing w:line="360" w:lineRule="auto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②按照要求上交推荐书目读书笔记（摘抄及心得），迟交每次扣1分，漏交每次扣3分，字迹潦草、每篇笔记或心得字数未达800字每篇扣2分。</w:t>
      </w:r>
    </w:p>
    <w:p>
      <w:pPr>
        <w:spacing w:line="360" w:lineRule="auto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③累计达2次未上交读书笔记（摘抄及心得）或上交读书笔记与他人雷同，则该核查项目0分。</w:t>
      </w:r>
    </w:p>
    <w:p>
      <w:pPr>
        <w:spacing w:line="360" w:lineRule="auto"/>
        <w:ind w:firstLine="643" w:firstLineChars="200"/>
        <w:jc w:val="left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（2）学习过程记录（15分）</w:t>
      </w:r>
    </w:p>
    <w:p>
      <w:pPr>
        <w:spacing w:line="360" w:lineRule="auto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①青年大学习（4分）</w:t>
      </w:r>
    </w:p>
    <w:p>
      <w:pPr>
        <w:spacing w:line="360" w:lineRule="auto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每期进行青年大学习完毕需要自行截图记录。开展频率：两周1次。迟交每次扣1分，漏交每次扣</w:t>
      </w:r>
      <w:r>
        <w:rPr>
          <w:rFonts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分。</w:t>
      </w:r>
    </w:p>
    <w:p>
      <w:pPr>
        <w:spacing w:line="360" w:lineRule="auto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②学习强国（8分）</w:t>
      </w:r>
    </w:p>
    <w:p>
      <w:pPr>
        <w:spacing w:line="360" w:lineRule="auto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核查“学习强国”APP中的积分情况。开展频率：两周1次。每两周学习积分至少240分，未达者每次扣2分。</w:t>
      </w:r>
    </w:p>
    <w:p>
      <w:pPr>
        <w:numPr>
          <w:ilvl w:val="0"/>
          <w:numId w:val="4"/>
        </w:numPr>
        <w:spacing w:line="360" w:lineRule="auto"/>
        <w:ind w:firstLine="643" w:firstLineChars="200"/>
        <w:jc w:val="left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笔试（</w:t>
      </w:r>
      <w:r>
        <w:rPr>
          <w:rFonts w:ascii="仿宋" w:hAnsi="仿宋" w:eastAsia="仿宋" w:cs="仿宋"/>
          <w:b/>
          <w:bCs/>
          <w:sz w:val="32"/>
          <w:szCs w:val="32"/>
        </w:rPr>
        <w:t>4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0分）</w:t>
      </w:r>
    </w:p>
    <w:p>
      <w:pPr>
        <w:spacing w:line="360" w:lineRule="auto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笔试主要内容：党、团知识，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习近平新时代中国特色社会主义思想相关知识点，</w:t>
      </w:r>
      <w:r>
        <w:rPr>
          <w:rFonts w:hint="eastAsia" w:ascii="仿宋" w:hAnsi="仿宋" w:eastAsia="仿宋" w:cs="仿宋"/>
          <w:sz w:val="32"/>
          <w:szCs w:val="32"/>
        </w:rPr>
        <w:t>时政要点，校史校情相关知识，青年大学习中相关知识，推荐书目中的相关知识。</w:t>
      </w:r>
    </w:p>
    <w:p>
      <w:pPr>
        <w:spacing w:line="360" w:lineRule="auto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（1）笔试中成绩达60分及以上。（分数：成绩*40%）</w:t>
      </w:r>
    </w:p>
    <w:p>
      <w:pPr>
        <w:spacing w:line="360" w:lineRule="auto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（2）笔试中成绩在60分及以下。（0分）</w:t>
      </w:r>
    </w:p>
    <w:p>
      <w:pPr>
        <w:spacing w:line="360" w:lineRule="auto"/>
        <w:ind w:firstLine="643" w:firstLineChars="200"/>
        <w:jc w:val="left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（三）面试（30分）</w:t>
      </w:r>
    </w:p>
    <w:p>
      <w:pPr>
        <w:spacing w:line="360" w:lineRule="auto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（1）学员先进行3分钟以内的自我介绍及自我学习的过程和思想建设进程的汇报，由评委老师进行评分。有自主阅读及其他学习、实践内容分享者可酌情加分。</w:t>
      </w:r>
    </w:p>
    <w:p>
      <w:pPr>
        <w:spacing w:line="360" w:lineRule="auto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（2）评委通过学生的学习总结进行提问，学生进行答辩。总时长不超过5分钟。由评委老师进行综合评分。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br w:type="page"/>
      </w:r>
    </w:p>
    <w:p>
      <w:pPr>
        <w:spacing w:line="360" w:lineRule="auto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附件3：</w:t>
      </w:r>
    </w:p>
    <w:p>
      <w:pPr>
        <w:tabs>
          <w:tab w:val="left" w:pos="1214"/>
        </w:tabs>
        <w:spacing w:line="360" w:lineRule="auto"/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202</w:t>
      </w:r>
      <w:r>
        <w:rPr>
          <w:rFonts w:ascii="黑体" w:hAnsi="黑体" w:eastAsia="黑体" w:cs="黑体"/>
          <w:sz w:val="36"/>
          <w:szCs w:val="36"/>
        </w:rPr>
        <w:t>4</w:t>
      </w:r>
      <w:r>
        <w:rPr>
          <w:rFonts w:hint="eastAsia" w:ascii="黑体" w:hAnsi="黑体" w:eastAsia="黑体" w:cs="黑体"/>
          <w:sz w:val="36"/>
          <w:szCs w:val="36"/>
        </w:rPr>
        <w:t>年青马工程培训班理论学习、素质拓展课程大纲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7"/>
        <w:gridCol w:w="3812"/>
        <w:gridCol w:w="2338"/>
        <w:gridCol w:w="13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47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版块</w:t>
            </w:r>
          </w:p>
        </w:tc>
        <w:tc>
          <w:tcPr>
            <w:tcW w:w="3812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主题</w:t>
            </w:r>
          </w:p>
        </w:tc>
        <w:tc>
          <w:tcPr>
            <w:tcW w:w="2338" w:type="dxa"/>
            <w:vAlign w:val="center"/>
          </w:tcPr>
          <w:p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</w:rPr>
              <w:t>主讲人/地点</w:t>
            </w: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</w:rPr>
              <w:t>时间安排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7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理</w:t>
            </w:r>
          </w:p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论</w:t>
            </w:r>
          </w:p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学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习</w:t>
            </w:r>
          </w:p>
        </w:tc>
        <w:tc>
          <w:tcPr>
            <w:tcW w:w="3812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《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与青年谈压力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》</w:t>
            </w:r>
          </w:p>
        </w:tc>
        <w:tc>
          <w:tcPr>
            <w:tcW w:w="2338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校党委常委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张海蛟</w:t>
            </w:r>
          </w:p>
        </w:tc>
        <w:tc>
          <w:tcPr>
            <w:tcW w:w="139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2023年5月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81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《党的二十大精神学习交流——“全面开启中国式现代化建设新征程”》</w:t>
            </w:r>
          </w:p>
        </w:tc>
        <w:tc>
          <w:tcPr>
            <w:tcW w:w="233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思政4S青年讲师团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高崇老师</w:t>
            </w: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待定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81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《习近平青年理论思维方法》</w:t>
            </w:r>
          </w:p>
        </w:tc>
        <w:tc>
          <w:tcPr>
            <w:tcW w:w="233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思政4S青年讲师团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王刚老师</w:t>
            </w: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待定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81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《学生干部的素质培养与能力提升》</w:t>
            </w:r>
          </w:p>
        </w:tc>
        <w:tc>
          <w:tcPr>
            <w:tcW w:w="233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思政4S青年讲师团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孙小虎老师</w:t>
            </w: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待定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81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《如何做好班团组织文化建设》</w:t>
            </w:r>
          </w:p>
        </w:tc>
        <w:tc>
          <w:tcPr>
            <w:tcW w:w="233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思政4S青年讲师团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郭俊老师</w:t>
            </w: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待定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81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《学生干部的礼仪修养》</w:t>
            </w:r>
          </w:p>
        </w:tc>
        <w:tc>
          <w:tcPr>
            <w:tcW w:w="233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思政4S青年讲师团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杨紫涵老师</w:t>
            </w: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待定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81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《如何做好公众演说？》</w:t>
            </w:r>
          </w:p>
        </w:tc>
        <w:tc>
          <w:tcPr>
            <w:tcW w:w="233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思政4S青年讲师团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黄悦老师</w:t>
            </w: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待定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74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81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《情绪管理与心理调节技巧》</w:t>
            </w:r>
          </w:p>
        </w:tc>
        <w:tc>
          <w:tcPr>
            <w:tcW w:w="233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思政4S青年讲师团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刘琪老师</w:t>
            </w: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待定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74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81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《反分裂、反渗透斗争集中教育》</w:t>
            </w:r>
          </w:p>
        </w:tc>
        <w:tc>
          <w:tcPr>
            <w:tcW w:w="233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思政4S青年讲师团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龙月娇老师</w:t>
            </w: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待定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74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81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《新时代背景下班团宣传工作的要点与技巧》</w:t>
            </w:r>
          </w:p>
        </w:tc>
        <w:tc>
          <w:tcPr>
            <w:tcW w:w="233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思政4S青年讲师团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付永衡老师</w:t>
            </w: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待定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74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81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《新时代大学生清廉观培养与形成》</w:t>
            </w:r>
          </w:p>
        </w:tc>
        <w:tc>
          <w:tcPr>
            <w:tcW w:w="233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思政4S青年讲师团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周芯竹老师</w:t>
            </w: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待定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747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参观</w:t>
            </w:r>
          </w:p>
          <w:p>
            <w:pPr>
              <w:jc w:val="center"/>
            </w:pPr>
            <w:r>
              <w:rPr>
                <w:rFonts w:hint="eastAsia"/>
                <w:b/>
                <w:bCs/>
              </w:rPr>
              <w:t>学习</w:t>
            </w:r>
          </w:p>
        </w:tc>
        <w:tc>
          <w:tcPr>
            <w:tcW w:w="381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青马班沉浸式户外学习</w:t>
            </w:r>
          </w:p>
        </w:tc>
        <w:tc>
          <w:tcPr>
            <w:tcW w:w="233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月亮湖红色教育基地</w:t>
            </w:r>
          </w:p>
        </w:tc>
        <w:tc>
          <w:tcPr>
            <w:tcW w:w="1399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待定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747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素质</w:t>
            </w:r>
          </w:p>
          <w:p>
            <w:pPr>
              <w:jc w:val="center"/>
            </w:pPr>
            <w:r>
              <w:rPr>
                <w:rFonts w:hint="eastAsia"/>
                <w:b/>
                <w:bCs/>
              </w:rPr>
              <w:t>拓展</w:t>
            </w:r>
          </w:p>
        </w:tc>
        <w:tc>
          <w:tcPr>
            <w:tcW w:w="381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团队户外素质拓展训练</w:t>
            </w:r>
          </w:p>
        </w:tc>
        <w:tc>
          <w:tcPr>
            <w:tcW w:w="233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学校足球场</w:t>
            </w:r>
          </w:p>
        </w:tc>
        <w:tc>
          <w:tcPr>
            <w:tcW w:w="1399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待定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747" w:type="dxa"/>
            <w:vMerge w:val="restart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线上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学习</w:t>
            </w:r>
          </w:p>
        </w:tc>
        <w:tc>
          <w:tcPr>
            <w:tcW w:w="381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“学习强国”自学反渗透、反分裂之——国家安全小剧场15集微视频</w:t>
            </w:r>
          </w:p>
        </w:tc>
        <w:tc>
          <w:tcPr>
            <w:tcW w:w="2338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线上自学，结合自身实际，各撰写学习感悟与心得体会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2022年寒假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747" w:type="dxa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381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观看红色电视剧《恰同学少年》</w:t>
            </w:r>
          </w:p>
        </w:tc>
        <w:tc>
          <w:tcPr>
            <w:tcW w:w="2338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2022年寒假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747" w:type="dxa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381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观看纪录片《不朽的马克思》</w:t>
            </w:r>
          </w:p>
        </w:tc>
        <w:tc>
          <w:tcPr>
            <w:tcW w:w="2338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2023年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暑假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747" w:type="dxa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381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观看红色电视剧《觉醒年代》</w:t>
            </w:r>
          </w:p>
        </w:tc>
        <w:tc>
          <w:tcPr>
            <w:tcW w:w="2338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2023年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暑假</w:t>
            </w:r>
          </w:p>
        </w:tc>
      </w:tr>
    </w:tbl>
    <w:p>
      <w:pPr>
        <w:spacing w:line="360" w:lineRule="auto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附件4：</w:t>
      </w:r>
    </w:p>
    <w:p>
      <w:pPr>
        <w:spacing w:line="360" w:lineRule="auto"/>
        <w:jc w:val="center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各组织推荐学员候选人名额一览表</w:t>
      </w:r>
    </w:p>
    <w:tbl>
      <w:tblPr>
        <w:tblStyle w:val="2"/>
        <w:tblW w:w="849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79"/>
        <w:gridCol w:w="1338"/>
        <w:gridCol w:w="2973"/>
        <w:gridCol w:w="130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8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  <w:lang w:eastAsia="zh-CN"/>
              </w:rPr>
              <w:t>学生组织</w:t>
            </w:r>
          </w:p>
        </w:tc>
        <w:tc>
          <w:tcPr>
            <w:tcW w:w="13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  <w:lang w:eastAsia="zh-CN"/>
              </w:rPr>
              <w:t>人数</w:t>
            </w:r>
          </w:p>
        </w:tc>
        <w:tc>
          <w:tcPr>
            <w:tcW w:w="29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  <w:lang w:eastAsia="zh-CN"/>
              </w:rPr>
              <w:t>学院</w:t>
            </w:r>
          </w:p>
        </w:tc>
        <w:tc>
          <w:tcPr>
            <w:tcW w:w="13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  <w:lang w:eastAsia="zh-CN"/>
              </w:rPr>
              <w:t>人数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8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8"/>
                <w:color w:val="auto"/>
                <w:lang w:val="en-US" w:eastAsia="zh-CN" w:bidi="ar"/>
              </w:rPr>
              <w:t>校团委</w:t>
            </w:r>
          </w:p>
        </w:tc>
        <w:tc>
          <w:tcPr>
            <w:tcW w:w="13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9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公共卫生与健康学院</w:t>
            </w:r>
          </w:p>
        </w:tc>
        <w:tc>
          <w:tcPr>
            <w:tcW w:w="13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Style w:val="8"/>
                <w:color w:val="auto"/>
                <w:lang w:val="en-US" w:eastAsia="zh-CN" w:bidi="ar"/>
              </w:rPr>
              <w:t>校学生会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9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基础医学院</w:t>
            </w:r>
          </w:p>
        </w:tc>
        <w:tc>
          <w:tcPr>
            <w:tcW w:w="13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国旗护卫队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9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8"/>
                <w:color w:val="auto"/>
                <w:lang w:val="en-US" w:eastAsia="zh-CN" w:bidi="ar"/>
              </w:rPr>
              <w:t>第一临床学院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8"/>
                <w:color w:val="auto"/>
                <w:lang w:val="en-US" w:eastAsia="zh-CN" w:bidi="ar"/>
              </w:rPr>
              <w:t>新青年传媒中心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9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8"/>
                <w:color w:val="auto"/>
                <w:lang w:val="en-US" w:eastAsia="zh-CN" w:bidi="ar"/>
              </w:rPr>
              <w:t>第二临床学院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8"/>
                <w:color w:val="auto"/>
                <w:lang w:val="en-US" w:eastAsia="zh-CN" w:bidi="ar"/>
              </w:rPr>
              <w:t>青年志愿者协会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9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8"/>
                <w:color w:val="auto"/>
                <w:lang w:val="en-US" w:eastAsia="zh-CN" w:bidi="ar"/>
              </w:rPr>
              <w:t>第三临床学院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大学生艺术团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9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8"/>
                <w:color w:val="auto"/>
                <w:lang w:val="en-US" w:eastAsia="zh-CN" w:bidi="ar"/>
              </w:rPr>
              <w:t>第四临床学院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勤工助学学生分工会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9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8"/>
                <w:color w:val="auto"/>
                <w:lang w:val="en-US" w:eastAsia="zh-CN" w:bidi="ar"/>
              </w:rPr>
              <w:t>第五临床学院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全媒体中心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9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8"/>
                <w:color w:val="auto"/>
                <w:lang w:val="en-US" w:eastAsia="zh-CN" w:bidi="ar"/>
              </w:rPr>
              <w:t>护理学院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广播台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9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8"/>
                <w:color w:val="auto"/>
                <w:lang w:val="en-US" w:eastAsia="zh-CN" w:bidi="ar"/>
              </w:rPr>
              <w:t>生物医学工程学院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8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就业创业协会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9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8"/>
                <w:color w:val="auto"/>
                <w:lang w:val="en-US" w:eastAsia="zh-CN" w:bidi="ar"/>
              </w:rPr>
              <w:t>药学院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879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8"/>
                <w:color w:val="auto"/>
                <w:lang w:val="en-US" w:eastAsia="zh-CN" w:bidi="ar"/>
              </w:rPr>
              <w:t>科技协会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973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口腔医学院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8"/>
                <w:color w:val="auto"/>
                <w:lang w:val="en-US" w:eastAsia="zh-CN" w:bidi="ar"/>
              </w:rPr>
              <w:t>朋辈心理咨询团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人文社会科学学院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8"/>
                <w:color w:val="auto"/>
                <w:lang w:val="en-US" w:eastAsia="zh-CN" w:bidi="ar"/>
              </w:rPr>
              <w:t>校团委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全科医学院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公共卫生与健康学院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</w:tr>
    </w:tbl>
    <w:p>
      <w:pPr>
        <w:spacing w:line="360" w:lineRule="auto"/>
        <w:ind w:right="-218" w:rightChars="-104"/>
        <w:jc w:val="left"/>
        <w:rPr>
          <w:rFonts w:ascii="仿宋_GB2312" w:hAnsi="仿宋_GB2312" w:eastAsia="仿宋_GB2312" w:cs="仿宋_GB2312"/>
          <w:color w:val="FF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FF0000"/>
          <w:sz w:val="28"/>
          <w:szCs w:val="28"/>
        </w:rPr>
        <w:t>注：基层团支部书记、委员在青马班学员中占比应该≥60% 。</w:t>
      </w:r>
    </w:p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CA551A"/>
    <w:multiLevelType w:val="singleLevel"/>
    <w:tmpl w:val="8ACA551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9CAE2BF2"/>
    <w:multiLevelType w:val="singleLevel"/>
    <w:tmpl w:val="9CAE2BF2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18AFB436"/>
    <w:multiLevelType w:val="singleLevel"/>
    <w:tmpl w:val="18AFB436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709D323B"/>
    <w:multiLevelType w:val="singleLevel"/>
    <w:tmpl w:val="709D323B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4ZDE0Y2ViOTI3M2VjNTYyNjA1OWIwMTY0YWRlZDEifQ=="/>
  </w:docVars>
  <w:rsids>
    <w:rsidRoot w:val="0B0707A3"/>
    <w:rsid w:val="0B070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semiHidden/>
    <w:unhideWhenUsed/>
    <w:uiPriority w:val="99"/>
    <w:rPr>
      <w:color w:val="0000FF"/>
      <w:u w:val="single"/>
    </w:rPr>
  </w:style>
  <w:style w:type="character" w:customStyle="1" w:styleId="6">
    <w:name w:val="font21"/>
    <w:basedOn w:val="4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7">
    <w:name w:val="列表段落1"/>
    <w:basedOn w:val="1"/>
    <w:qFormat/>
    <w:uiPriority w:val="34"/>
    <w:pPr>
      <w:ind w:firstLine="420" w:firstLineChars="200"/>
    </w:pPr>
  </w:style>
  <w:style w:type="character" w:customStyle="1" w:styleId="8">
    <w:name w:val="font11"/>
    <w:basedOn w:val="4"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2024-01-03T09:59:00Z</dcterms:created>
  <dc:creator>郭俊</dc:creator>
  <cp:lastModifiedBy>郭俊</cp:lastModifiedBy>
  <dcterms:modified xsi:type="dcterms:W3CDTF">2024-01-03T09:59:51Z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937983AF9E8041DD8B45EEA48450BDB8_11</vt:lpwstr>
  </property>
</Properties>
</file>