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D7FC0">
      <w:pPr>
        <w:tabs>
          <w:tab w:val="left" w:pos="220"/>
          <w:tab w:val="center" w:pos="7758"/>
        </w:tabs>
        <w:adjustRightInd w:val="0"/>
        <w:snapToGrid w:val="0"/>
        <w:jc w:val="left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  <w:lang w:eastAsia="zh-Hans"/>
        </w:rPr>
        <w:t>附件</w:t>
      </w:r>
      <w:r>
        <w:rPr>
          <w:rFonts w:ascii="仿宋_GB2312" w:hAnsi="宋体" w:eastAsia="仿宋_GB2312" w:cs="Times New Roman"/>
          <w:sz w:val="28"/>
          <w:szCs w:val="28"/>
          <w:lang w:eastAsia="zh-Hans"/>
        </w:rPr>
        <w:t>4</w:t>
      </w:r>
      <w:r>
        <w:rPr>
          <w:rFonts w:hint="eastAsia" w:ascii="仿宋_GB2312" w:hAnsi="宋体" w:eastAsia="仿宋_GB2312" w:cs="Times New Roman"/>
          <w:sz w:val="28"/>
          <w:szCs w:val="28"/>
          <w:lang w:eastAsia="zh-Hans"/>
        </w:rPr>
        <w:t>:</w:t>
      </w:r>
      <w:r>
        <w:rPr>
          <w:rFonts w:hint="eastAsia" w:ascii="仿宋_GB2312" w:hAnsi="宋体" w:eastAsia="仿宋_GB2312" w:cs="Times New Roman"/>
          <w:sz w:val="28"/>
          <w:szCs w:val="28"/>
        </w:rPr>
        <w:tab/>
      </w:r>
    </w:p>
    <w:p w14:paraId="515AD7AE">
      <w:pPr>
        <w:tabs>
          <w:tab w:val="left" w:pos="220"/>
          <w:tab w:val="center" w:pos="7758"/>
        </w:tabs>
        <w:adjustRightInd w:val="0"/>
        <w:snapToGrid w:val="0"/>
        <w:jc w:val="center"/>
        <w:rPr>
          <w:rFonts w:ascii="Calibri" w:hAnsi="Calibri" w:eastAsia="方正小标宋简体" w:cs="Times New Roma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2024年度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学院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Hans"/>
        </w:rPr>
        <w:t>团委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工作考核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Hans"/>
        </w:rPr>
        <w:t>细则表</w:t>
      </w:r>
    </w:p>
    <w:tbl>
      <w:tblPr>
        <w:tblStyle w:val="3"/>
        <w:tblW w:w="0" w:type="auto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06"/>
        <w:gridCol w:w="10875"/>
        <w:gridCol w:w="3200"/>
      </w:tblGrid>
      <w:tr w14:paraId="1C6DF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52" w:hRule="atLeast"/>
        </w:trPr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4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</w:t>
            </w:r>
          </w:p>
        </w:tc>
        <w:tc>
          <w:tcPr>
            <w:tcW w:w="10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2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评分细则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2BAB1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C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7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深化团学组织改革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0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55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规范校院两级团学代会的召开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7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填写金秋群在线表格，已发</w:t>
            </w:r>
          </w:p>
        </w:tc>
      </w:tr>
      <w:tr w14:paraId="0EAC5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7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（32分）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6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思想引领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0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C2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1.开展全院性组织化学习、校园文化活动，每学期不少于2次，每少1次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扣0.5分。(满分2分)</w:t>
            </w:r>
            <w:bookmarkStart w:id="0" w:name="_GoBack"/>
            <w:bookmarkEnd w:id="0"/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团委据实认定赋分</w:t>
            </w:r>
          </w:p>
        </w:tc>
      </w:tr>
      <w:tr w14:paraId="6DBE5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A4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A8C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B7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2.按要求落实班团会学习，以学院为单位排序，1-4名得2分、5-8名得1.5分、其余得1分；若抽查班级数量30%不合格，此项得0分。(满分2分)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B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团委据实认定赋分</w:t>
            </w:r>
          </w:p>
        </w:tc>
      </w:tr>
      <w:tr w14:paraId="20401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5E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52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5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3.“青年大学习”今年统一满分。(满分2分)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C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团委据实认定赋分</w:t>
            </w:r>
          </w:p>
        </w:tc>
      </w:tr>
      <w:tr w14:paraId="292FB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3C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74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D7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4.百生讲坛活动基层团支部覆盖面达100%得2分，每降低一个百分点减0.5分，扣完为止。(满分2分)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41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 w:bidi="ar"/>
              </w:rPr>
              <w:t>百生讲坛已发</w:t>
            </w:r>
          </w:p>
        </w:tc>
      </w:tr>
      <w:tr w14:paraId="2E0C2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85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41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EC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5.抓好典型选树，发挥青年党员、团代表、团干部、“青马工程”学员、各类青年典型，开展互动式、面对面宣讲。每学年至少一次。（2分）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2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 w:bidi="ar"/>
              </w:rPr>
              <w:t>青年典型宣讲活动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u w:val="none"/>
                <w:lang w:val="en-US" w:eastAsia="zh-CN" w:bidi="ar"/>
              </w:rPr>
              <w:t>至少提交一项证明材料</w:t>
            </w:r>
          </w:p>
        </w:tc>
      </w:tr>
      <w:tr w14:paraId="6CB39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3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9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基层团组织建设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（12分）</w:t>
            </w:r>
          </w:p>
        </w:tc>
        <w:tc>
          <w:tcPr>
            <w:tcW w:w="10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D1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1.智慧团建专题学习录入率、学社衔接率、团员年度教育评议及审核、“推优”记载、“三会两制一课”录入率在规定时间内达100%则得5分，少一项扣1分，扣完为止。(满分5分)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DC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团委据实认定赋分</w:t>
            </w:r>
          </w:p>
        </w:tc>
      </w:tr>
      <w:tr w14:paraId="16AC2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A6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05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06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2.团学骨干教育培训：院级团校和青马班培训。培训资料完整规范得2分，未开展一项培训扣1分。(满分2分)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A3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 w:bidi="ar"/>
              </w:rPr>
              <w:t>院级团校、青马班均需开展，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u w:val="none"/>
                <w:lang w:val="en-US" w:eastAsia="zh-CN" w:bidi="ar"/>
              </w:rPr>
              <w:t>培训资料、台账、新闻等材料</w:t>
            </w:r>
          </w:p>
        </w:tc>
      </w:tr>
      <w:tr w14:paraId="78AE4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99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51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BD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3.认真落实“两个一般，两个主要”要求，健全完善共青团推优入党机制;规范团员教育评议、团内仪式教育、实践教育，不断提升团员先进性(视完成情况评分，满分2分)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D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团委据实认定赋分</w:t>
            </w:r>
          </w:p>
        </w:tc>
      </w:tr>
      <w:tr w14:paraId="3CC3A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E8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3F3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17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4.青协分会考核、学生分会考核结果，标兵得1分，优秀得0.8分，其他得0.4分，该项分值可累加。（满分2分)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团委据实认定赋分</w:t>
            </w:r>
          </w:p>
        </w:tc>
      </w:tr>
      <w:tr w14:paraId="4EBC4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82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F4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CD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5.开展“我为同学办实事”。建立落实办实事清单，以切实举措服务大学生在学业帮扶、人际沟通、兴趣培养、心理健康方面的各类需求。工作开展情况台账规范清晰、切实帮助解决学生问题，得1分。(满分1分)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B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提交问题清单和解决情况</w:t>
            </w:r>
          </w:p>
        </w:tc>
      </w:tr>
    </w:tbl>
    <w:p w14:paraId="19D90316">
      <w:pPr>
        <w:tabs>
          <w:tab w:val="left" w:pos="840"/>
        </w:tabs>
      </w:pPr>
    </w:p>
    <w:tbl>
      <w:tblPr>
        <w:tblStyle w:val="3"/>
        <w:tblW w:w="0" w:type="auto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06"/>
        <w:gridCol w:w="10875"/>
        <w:gridCol w:w="3200"/>
      </w:tblGrid>
      <w:tr w14:paraId="6FFF7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32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F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素质发展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0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DE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打造以“挑战杯”“创青春”等为载体的创新创业育人体系(4分):(1)基础申报率，参与以上创新创业活动的学生人数占学院学生总人数的百分比，1-4名2分，5-8名1分，或参与以上创新创业活动学生人数达到学院学生总人数的10%得2分。(满分2分)(2)有效申报率(校级及以上获奖、立项项目)达千分之三得2分(满分2分)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3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团委据实认定赋分</w:t>
            </w:r>
          </w:p>
        </w:tc>
      </w:tr>
      <w:tr w14:paraId="01421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81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E1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77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打造以红色筑梦之旅、中国青年志愿服务公益创业赛、志愿服务项目大赛、社区计划等为载体的实践育人体系，各学院组织动员不少于30%的团支部踊跃参与:基础申报率以上，参与以上活动的学生人数占学院学生总人数的百分比，1-4名3分，5-8名2分。(满分2分)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8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填写在线表格，已发</w:t>
            </w:r>
          </w:p>
        </w:tc>
      </w:tr>
      <w:tr w14:paraId="42BA3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62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5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10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3.组织开展“三下乡”“返家乡”“实习实训”社会实践(视完成情况评分，满分3分)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37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团委据实认定赋分</w:t>
            </w:r>
          </w:p>
        </w:tc>
      </w:tr>
      <w:tr w14:paraId="4DC3D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68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E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重视党建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带团建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工作研究（4分）</w:t>
            </w:r>
          </w:p>
        </w:tc>
        <w:tc>
          <w:tcPr>
            <w:tcW w:w="10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3AB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分党委每学期至少各召开1次专题会议研究团的工作和建设、听取1次共青团开展学生思想政治工作汇报。每少一次扣1分。</w:t>
            </w:r>
          </w:p>
        </w:tc>
        <w:tc>
          <w:tcPr>
            <w:tcW w:w="3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F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待党委组织部最终考核方案确定，暂不提交材料</w:t>
            </w:r>
          </w:p>
        </w:tc>
      </w:tr>
      <w:tr w14:paraId="32CAC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E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建立党建带团建工作机制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（2分）</w:t>
            </w:r>
          </w:p>
        </w:tc>
        <w:tc>
          <w:tcPr>
            <w:tcW w:w="10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371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党委联系学生团支部或学生组织、学生社团、学生团队（社会实践、志愿服务、科研项目）不少于班子成员数，且参与活动一年不少于5次，少一次扣0.5分，扣完为止。</w:t>
            </w:r>
          </w:p>
        </w:tc>
        <w:tc>
          <w:tcPr>
            <w:tcW w:w="3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8F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5FE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8E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5D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加强党建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带团建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理论武装（2分）</w:t>
            </w:r>
          </w:p>
        </w:tc>
        <w:tc>
          <w:tcPr>
            <w:tcW w:w="10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A8C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分党委领导班子成员带头上讲台，为团学青年开展理论宣讲，每学期不少于1次，少一次扣1分。</w:t>
            </w:r>
          </w:p>
        </w:tc>
        <w:tc>
          <w:tcPr>
            <w:tcW w:w="3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25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7D8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34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7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创建党建带团建活动品牌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（2分）</w:t>
            </w:r>
          </w:p>
        </w:tc>
        <w:tc>
          <w:tcPr>
            <w:tcW w:w="10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4F0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创新党建带团建活动载体，形成有影响力的党团共建活动品牌。未建立的扣2分。</w:t>
            </w:r>
          </w:p>
        </w:tc>
        <w:tc>
          <w:tcPr>
            <w:tcW w:w="3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5F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D33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3C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创先争优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0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BD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获得省厅级以上(表彰主体为上级主管部门及组成部门落款)含学生工作课题项目、学生集体、学生个人获奖(不含奖助学金)及学工处、团委组织的年度重点工作表彰/专职辅导员数，为该项得分。其中，取得省厅级以上突破性成绩，辅导员素质能力大赛、百生讲坛、挑战杯等重点活动获省级二等及以上荣誉，不除以辅导员人数，直接赋分。(计分办法:国家级特等、一、二、三等 3、2.5、2、1.5分，省级特等、一、二、三等 2.5、2、1.5、1分，校级特等、一、二、三等 2、1.5、1、0.5分;不评等次奖励，国家级奖励2分、省部级1分、校级 0.5分。跨院组队学生团队获奖按照奖励分数=奖励总分*(学院实际参加人数/获奖团队总人数)记入。奖励项目中，同类奖项分数就高不就低，不重复加分。</w:t>
            </w:r>
          </w:p>
        </w:tc>
        <w:tc>
          <w:tcPr>
            <w:tcW w:w="3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B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填写《XX学院2024年获奖情况表》，提供证书扫描件等材料</w:t>
            </w:r>
          </w:p>
        </w:tc>
      </w:tr>
      <w:tr w14:paraId="44F64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AA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44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2E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2.取得有关学生工作的升大指标历史最好水平直接加6分，取得突破加7.5分</w:t>
            </w:r>
          </w:p>
        </w:tc>
        <w:tc>
          <w:tcPr>
            <w:tcW w:w="3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9B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26A25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9B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总结考核</w:t>
            </w:r>
          </w:p>
        </w:tc>
        <w:tc>
          <w:tcPr>
            <w:tcW w:w="14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1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各学院团委书记总结梳理年度共青团工作情况，年度工作情况、工作亮点，形成简明扼要、篇幅不超过3000字的共青团年度工作总结材料。并将总结材料结合图片内容在“未湖之声”微信公众号进行推送。</w:t>
            </w:r>
          </w:p>
        </w:tc>
      </w:tr>
      <w:tr w14:paraId="3541B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8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一票否决项目</w:t>
            </w:r>
          </w:p>
        </w:tc>
        <w:tc>
          <w:tcPr>
            <w:tcW w:w="14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2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1.年度团费未足额上缴。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2.在工作中推诿拖拉造成严重不良后果的。</w:t>
            </w:r>
          </w:p>
        </w:tc>
      </w:tr>
      <w:tr w14:paraId="453E3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E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 xml:space="preserve">      </w:t>
            </w:r>
            <w:r>
              <w:rPr>
                <w:rStyle w:val="8"/>
                <w:rFonts w:hAnsi="宋体"/>
                <w:lang w:val="en-US" w:eastAsia="zh-CN" w:bidi="ar"/>
              </w:rPr>
              <w:t xml:space="preserve"> 注：学院团委工作考核最终得分组成：材料得分×70%+学院团委工作展示×30%</w:t>
            </w:r>
          </w:p>
        </w:tc>
      </w:tr>
    </w:tbl>
    <w:p w14:paraId="649AAEBB">
      <w:pPr>
        <w:tabs>
          <w:tab w:val="left" w:pos="840"/>
        </w:tabs>
      </w:pPr>
      <w:r>
        <w:rPr>
          <w:rFonts w:hint="eastAsia" w:ascii="仿宋_GB2312" w:hAnsi="宋体" w:eastAsia="仿宋_GB2312"/>
          <w:sz w:val="28"/>
          <w:szCs w:val="28"/>
        </w:rPr>
        <w:t xml:space="preserve">            </w:t>
      </w:r>
    </w:p>
    <w:sectPr>
      <w:pgSz w:w="16838" w:h="11906" w:orient="landscape"/>
      <w:pgMar w:top="323" w:right="720" w:bottom="32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26DDB0-2613-4E61-A182-948074BCC5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4B98890-0D4C-4D03-86A3-8C517C7268B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F616718-CA70-4432-B4B2-6BDE7089EBF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71B15B25-4A3D-4A99-AA3B-C4F31CF2C59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57D18"/>
    <w:rsid w:val="05C02DE8"/>
    <w:rsid w:val="06141D4E"/>
    <w:rsid w:val="07625226"/>
    <w:rsid w:val="0ACC539A"/>
    <w:rsid w:val="0B146020"/>
    <w:rsid w:val="12DE5656"/>
    <w:rsid w:val="15317D6C"/>
    <w:rsid w:val="156F16A5"/>
    <w:rsid w:val="171A27C3"/>
    <w:rsid w:val="180F3B0D"/>
    <w:rsid w:val="187B04F3"/>
    <w:rsid w:val="1A216288"/>
    <w:rsid w:val="1B0E7F02"/>
    <w:rsid w:val="1C505C53"/>
    <w:rsid w:val="1D1F4794"/>
    <w:rsid w:val="1E12527E"/>
    <w:rsid w:val="224F5E97"/>
    <w:rsid w:val="22B33E03"/>
    <w:rsid w:val="2938225F"/>
    <w:rsid w:val="2D8545F8"/>
    <w:rsid w:val="2DD66B70"/>
    <w:rsid w:val="317C3DB4"/>
    <w:rsid w:val="35C517D0"/>
    <w:rsid w:val="364C2CA1"/>
    <w:rsid w:val="3873584A"/>
    <w:rsid w:val="39855215"/>
    <w:rsid w:val="3AF84B4B"/>
    <w:rsid w:val="3B295292"/>
    <w:rsid w:val="3C4E6525"/>
    <w:rsid w:val="40B02D74"/>
    <w:rsid w:val="443B60DF"/>
    <w:rsid w:val="47615653"/>
    <w:rsid w:val="478C6C77"/>
    <w:rsid w:val="4C2E3E24"/>
    <w:rsid w:val="4D753FCD"/>
    <w:rsid w:val="4F0A46C1"/>
    <w:rsid w:val="509323BD"/>
    <w:rsid w:val="513B5071"/>
    <w:rsid w:val="51871717"/>
    <w:rsid w:val="52044AC6"/>
    <w:rsid w:val="5345691A"/>
    <w:rsid w:val="54681114"/>
    <w:rsid w:val="547C3602"/>
    <w:rsid w:val="55714C36"/>
    <w:rsid w:val="5757014F"/>
    <w:rsid w:val="5A7026A5"/>
    <w:rsid w:val="5C6F28FB"/>
    <w:rsid w:val="5DC30111"/>
    <w:rsid w:val="5FBD6715"/>
    <w:rsid w:val="60D57D18"/>
    <w:rsid w:val="61C823E6"/>
    <w:rsid w:val="62B473CD"/>
    <w:rsid w:val="65C868E6"/>
    <w:rsid w:val="660E46F9"/>
    <w:rsid w:val="68A07A92"/>
    <w:rsid w:val="68AF7D84"/>
    <w:rsid w:val="6CB11ACC"/>
    <w:rsid w:val="6EA955FA"/>
    <w:rsid w:val="73FC3689"/>
    <w:rsid w:val="75563DA3"/>
    <w:rsid w:val="767C06C7"/>
    <w:rsid w:val="77C20AA2"/>
    <w:rsid w:val="7A2026A2"/>
    <w:rsid w:val="7A4002F1"/>
    <w:rsid w:val="7AE15CF5"/>
    <w:rsid w:val="7D0C50D5"/>
    <w:rsid w:val="7D70376A"/>
    <w:rsid w:val="7DB90543"/>
    <w:rsid w:val="7E67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/>
      <w:autoSpaceDN/>
      <w:snapToGrid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semiHidden/>
    <w:unhideWhenUsed/>
    <w:qFormat/>
    <w:uiPriority w:val="0"/>
    <w:pPr>
      <w:ind w:left="1180"/>
      <w:outlineLvl w:val="1"/>
    </w:pPr>
    <w:rPr>
      <w:rFonts w:ascii="宋体" w:hAnsi="宋体" w:eastAsia="宋体" w:cs="宋体"/>
      <w:b/>
      <w:bCs/>
      <w:sz w:val="24"/>
      <w:szCs w:val="2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我滴最爱"/>
    <w:basedOn w:val="1"/>
    <w:qFormat/>
    <w:uiPriority w:val="0"/>
    <w:pPr>
      <w:spacing w:before="120" w:after="120"/>
    </w:pPr>
    <w:rPr>
      <w:rFonts w:hint="default" w:asciiTheme="minorAscii" w:hAnsiTheme="minorAscii"/>
      <w:sz w:val="28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21"/>
    <w:basedOn w:val="4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8">
    <w:name w:val="font41"/>
    <w:basedOn w:val="4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9">
    <w:name w:val="font5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2025-02-26T04:43:00Z</dcterms:created>
  <dc:creator>是月亮ye</dc:creator>
  <cp:lastModifiedBy>是月亮ye</cp:lastModifiedBy>
  <dcterms:modified xsi:type="dcterms:W3CDTF">2025-02-26T04:45:52Z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39AC805FAF824CF4A201B914F9615DEC_11</vt:lpwstr>
  </property>
  <property fmtid="{D5CDD505-2E9C-101B-9397-08002B2CF9AE}" pid="4" name="KSOTemplateDocerSaveRecord">
    <vt:lpwstr>eyJoZGlkIjoiNDZlYWVlZGU0NzRiMzcwNGNlOTUwNTQ2Y2I1ZmRlNDkiLCJ1c2VySWQiOiIzMDEzNDE3NjUifQ==</vt:lpwstr>
  </property>
</Properties>
</file>